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784"/>
          <w:tab w:val="center" w:leader="none" w:pos="5102"/>
        </w:tabs>
        <w:bidi w:val="1"/>
        <w:spacing w:after="0" w:line="360" w:lineRule="auto"/>
        <w:rPr>
          <w:rFonts w:ascii="Narkisim" w:cs="Narkisim" w:eastAsia="Narkisim" w:hAnsi="Narkisim"/>
          <w:b w:val="1"/>
          <w:sz w:val="24"/>
          <w:szCs w:val="24"/>
        </w:rPr>
      </w:pP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השיעור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1"/>
        </w:rPr>
        <w:t xml:space="preserve">תחת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1"/>
        </w:rPr>
        <w:t xml:space="preserve">ממון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1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784"/>
          <w:tab w:val="center" w:leader="none" w:pos="5102"/>
        </w:tabs>
        <w:bidi w:val="1"/>
        <w:spacing w:after="0" w:line="360" w:lineRule="auto"/>
        <w:rPr>
          <w:rFonts w:ascii="Narkisim" w:cs="Narkisim" w:eastAsia="Narkisim" w:hAnsi="Narkisim"/>
          <w:b w:val="1"/>
          <w:sz w:val="24"/>
          <w:szCs w:val="24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5840" w:w="12240" w:orient="portrait"/>
          <w:pgMar w:bottom="1134" w:top="1134" w:left="1134" w:right="1134" w:header="720" w:footer="720"/>
          <w:pgNumType w:start="1"/>
          <w:cols w:equalWidth="0" w:num="1">
            <w:col w:space="0" w:w="9971.98"/>
          </w:cols>
        </w:sectPr>
      </w:pP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המרצה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כתובת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דוא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Narkisim" w:cs="Narkisim" w:eastAsia="Narkisim" w:hAnsi="Narkisim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0"/>
        </w:rPr>
        <w:t xml:space="preserve">brandes@herzog.ac.il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מכדר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דנזיקין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ישמעאל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ישלמנה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לנזקי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ונזקי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לנזקי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לתשלומין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לתשלומין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יצחק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יושת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שענש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יענש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אליעזר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מתכוין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המתכוון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],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בעמיתו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שבפרט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מומין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וראשי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איברים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ובמתכוין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תלמוד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שיתכוין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מגילת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בתמוז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בארבעה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בתמוז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גזרתא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ומונח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לצדוקים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גזרות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שנסקלין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שנשרפין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שנהרגין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שנחנקין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וכשהיו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יושבין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ומראין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סקילה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שרפה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חניקה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יורוך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מלמד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כותבין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גזרתא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ביתוסין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יסמא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ופרשו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השמלה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זקני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ככתבן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וירקה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שתהא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רוקקת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והמצוה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להורותם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כתבתי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והמצוה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להורותם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וכתיב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ולמדה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בפיהם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ולמדה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בפיהם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שבטלוהו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עשאוהו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אבן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סעדיה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הפסוק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כמשמעו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חבירו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כזאת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ומגרעת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יחשיך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והפצע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והחבורה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סובלת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זוטא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ויקרא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והגאון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טעמו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זוטא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והגאון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שופ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ושמשון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נשותיהם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ונתנם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גמולם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זוטא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עונשו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והגאון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פקח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שיעשיר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והכלל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לפרש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נסמוך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האבות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הגאון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שהעונש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יחליף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והזכיר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והזכיר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האיברים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חבירו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כנגדו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שעומד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כנגדו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וישבור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ילחם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בברחו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מפניו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תלמוד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רחמנא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סלקא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דתניא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מקטע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לתשלומין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לתשלומין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לנפש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לנפש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לראשי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אברים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לתנא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דילפת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לילף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דקתני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מאחר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דכתיב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תקחו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אמינא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קמ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מבהמה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לתשלומין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לתשלומין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דוסתאי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ממונא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לכולכם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קושיא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נהורא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נהורא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רחמנא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נישקול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שהרג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וגדול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שהרג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הקטן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קטלינן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לכולכם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רחמנא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נשקול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נהורא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שקיל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נהורא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רחמנא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נשקול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אידך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שמעון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וסימא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קיטע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וקיטע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חיגר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וחיגר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מקיים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והתורה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לכולכם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קושיא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דאפשר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ופטרינן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טרפה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שהרג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עבדינן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דאפשר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ופטרינן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ישמעאל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ישמעאל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יתירא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דרשי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בעמיתו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איידי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דבעי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מיכתב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ניהו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יתירא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דרשי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ועשיתם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לאחיו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סלקא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איידי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דכתיב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ברגל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מדתני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דתנא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חזקיה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סלקא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זימנין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דמשכחת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ונפש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דבהדי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דעויר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נשמתיה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קושיא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אמדינן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עבדינן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עבדינן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אמדינן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דמצי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ועבדינן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ונפק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מלקות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אמדוהו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פטור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זביד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דרבה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פצע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פצע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סלקא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דלהאי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קושיא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דמפנק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טפי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ואיכא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מפנק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צערא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למתבי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דביני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פפא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דרבא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ורפא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ירפא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ליתן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רפואה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סלקא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דהאי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אסייא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אסייא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קושיא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דלמא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דסליק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בשריה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ואיכא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סליק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בשריה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למיתב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דביני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וכתיב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חזית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דילפת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נילף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דכתיב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ונתת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מנזקין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ממיתה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אדרבה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דנין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מבהמה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יליף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מאדם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ונזיקין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מנזיקין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תניא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סלקא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דעתך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אליעזר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כעבד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כמאן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חורין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חורין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אשי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שמין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בניזק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rankRuehl" w:cs="FrankRuehl" w:eastAsia="FrankRuehl" w:hAnsi="FrankRueh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במזיק</w:t>
      </w:r>
    </w:p>
    <w:sectPr>
      <w:type w:val="continuous"/>
      <w:pgSz w:h="15840" w:w="12240" w:orient="portrait"/>
      <w:pgMar w:bottom="1440" w:top="1440" w:left="1800" w:right="1800" w:header="720" w:footer="720"/>
      <w:cols w:equalWidth="0" w:num="1">
        <w:col w:space="0" w:w="8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arkisim"/>
  <w:font w:name="FrankRueh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-129539</wp:posOffset>
          </wp:positionV>
          <wp:extent cx="5486400" cy="884615"/>
          <wp:effectExtent b="0" l="0" r="0" t="0"/>
          <wp:wrapNone/>
          <wp:docPr descr="C:\Users\user2\AppData\Local\Microsoft\Windows\INetCache\Content.Word\10416_MAPE_MEKOROT_footer.png" id="8" name="image1.png"/>
          <a:graphic>
            <a:graphicData uri="http://schemas.openxmlformats.org/drawingml/2006/picture">
              <pic:pic>
                <pic:nvPicPr>
                  <pic:cNvPr descr="C:\Users\user2\AppData\Local\Microsoft\Windows\INetCache\Content.Word\10416_MAPE_MEKOROT_foote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884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ויקרא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</w:t>
      </w:r>
    </w:p>
  </w:footnote>
  <w:footnote w:id="1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</w:p>
  </w:footnote>
  <w:footnote w:id="2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ויקרא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יט</w:t>
      </w:r>
    </w:p>
  </w:footnote>
  <w:footnote w:id="3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ויקרא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21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ימי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עיון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בתנ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ך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תשפ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ג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-294004</wp:posOffset>
          </wp:positionH>
          <wp:positionV relativeFrom="paragraph">
            <wp:posOffset>-298993</wp:posOffset>
          </wp:positionV>
          <wp:extent cx="1578428" cy="870585"/>
          <wp:effectExtent b="0" l="0" r="0" t="0"/>
          <wp:wrapNone/>
          <wp:docPr descr="C:\Users\user2\AppData\Local\Microsoft\Windows\INetCache\Content.Word\10416_MAPE_MEKOROT_up.png" id="7" name="image2.png"/>
          <a:graphic>
            <a:graphicData uri="http://schemas.openxmlformats.org/drawingml/2006/picture">
              <pic:pic>
                <pic:nvPicPr>
                  <pic:cNvPr descr="C:\Users\user2\AppData\Local\Microsoft\Windows\INetCache\Content.Word\10416_MAPE_MEKOROT_up.png" id="0" name="image2.png"/>
                  <pic:cNvPicPr preferRelativeResize="0"/>
                </pic:nvPicPr>
                <pic:blipFill>
                  <a:blip r:embed="rId1"/>
                  <a:srcRect b="-7503" l="992" r="70238" t="7503"/>
                  <a:stretch>
                    <a:fillRect/>
                  </a:stretch>
                </pic:blipFill>
                <pic:spPr>
                  <a:xfrm>
                    <a:off x="0" y="0"/>
                    <a:ext cx="1578428" cy="8705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bidi w:val="1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6363B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832677"/>
    <w:pPr>
      <w:bidi w:val="1"/>
      <w:outlineLvl w:val="1"/>
    </w:pPr>
    <w:rPr>
      <w:lang w:bidi="he-IL"/>
    </w:rPr>
  </w:style>
  <w:style w:type="paragraph" w:styleId="3">
    <w:name w:val="heading 3"/>
    <w:basedOn w:val="a"/>
    <w:next w:val="a"/>
    <w:link w:val="30"/>
    <w:uiPriority w:val="9"/>
    <w:unhideWhenUsed w:val="1"/>
    <w:rsid w:val="00C66FAB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4">
    <w:name w:val="heading 4"/>
    <w:basedOn w:val="a"/>
    <w:link w:val="40"/>
    <w:uiPriority w:val="9"/>
    <w:rsid w:val="00113638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he-IL" w:eastAsia="en-US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rsid w:val="006363B9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 w:val="1"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 w:val="1"/>
    <w:unhideWhenUsed w:val="1"/>
    <w:rsid w:val="00DA4C86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8" w:customStyle="1">
    <w:name w:val="טקסט בלונים תו"/>
    <w:basedOn w:val="a0"/>
    <w:link w:val="a7"/>
    <w:uiPriority w:val="99"/>
    <w:semiHidden w:val="1"/>
    <w:rsid w:val="00DA4C86"/>
    <w:rPr>
      <w:rFonts w:ascii="Tahoma" w:cs="Tahoma" w:hAnsi="Tahoma"/>
      <w:sz w:val="18"/>
      <w:szCs w:val="18"/>
    </w:rPr>
  </w:style>
  <w:style w:type="paragraph" w:styleId="NormalWeb">
    <w:name w:val="Normal (Web)"/>
    <w:basedOn w:val="a"/>
    <w:uiPriority w:val="99"/>
    <w:semiHidden w:val="1"/>
    <w:unhideWhenUsed w:val="1"/>
    <w:rsid w:val="008C1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he-IL" w:eastAsia="en-US"/>
    </w:rPr>
  </w:style>
  <w:style w:type="paragraph" w:styleId="a9">
    <w:name w:val="List Paragraph"/>
    <w:basedOn w:val="a"/>
    <w:uiPriority w:val="34"/>
    <w:qFormat w:val="1"/>
    <w:rsid w:val="0029234F"/>
    <w:pPr>
      <w:ind w:left="720"/>
      <w:contextualSpacing w:val="1"/>
    </w:pPr>
  </w:style>
  <w:style w:type="character" w:styleId="apple-tab-span" w:customStyle="1">
    <w:name w:val="apple-tab-span"/>
    <w:basedOn w:val="a0"/>
    <w:rsid w:val="00E47B35"/>
  </w:style>
  <w:style w:type="character" w:styleId="40" w:customStyle="1">
    <w:name w:val="כותרת 4 תו"/>
    <w:basedOn w:val="a0"/>
    <w:link w:val="4"/>
    <w:uiPriority w:val="9"/>
    <w:rsid w:val="00113638"/>
    <w:rPr>
      <w:rFonts w:ascii="Times New Roman" w:cs="Times New Roman" w:eastAsia="Times New Roman" w:hAnsi="Times New Roman"/>
      <w:b w:val="1"/>
      <w:bCs w:val="1"/>
      <w:sz w:val="24"/>
      <w:szCs w:val="24"/>
      <w:lang w:bidi="he-IL" w:eastAsia="en-US"/>
    </w:rPr>
  </w:style>
  <w:style w:type="character" w:styleId="Hyperlink">
    <w:name w:val="Hyperlink"/>
    <w:basedOn w:val="a0"/>
    <w:uiPriority w:val="99"/>
    <w:semiHidden w:val="1"/>
    <w:unhideWhenUsed w:val="1"/>
    <w:rsid w:val="006150EC"/>
    <w:rPr>
      <w:color w:val="0000ff"/>
      <w:u w:val="single"/>
    </w:rPr>
  </w:style>
  <w:style w:type="character" w:styleId="10" w:customStyle="1">
    <w:name w:val="כותרת 1 תו"/>
    <w:basedOn w:val="a0"/>
    <w:link w:val="1"/>
    <w:uiPriority w:val="9"/>
    <w:rsid w:val="006363B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20" w:customStyle="1">
    <w:name w:val="כותרת 2 תו"/>
    <w:basedOn w:val="a0"/>
    <w:link w:val="2"/>
    <w:uiPriority w:val="9"/>
    <w:rsid w:val="00832677"/>
    <w:rPr>
      <w:lang w:bidi="he-IL"/>
    </w:rPr>
  </w:style>
  <w:style w:type="character" w:styleId="50" w:customStyle="1">
    <w:name w:val="כותרת 5 תו"/>
    <w:basedOn w:val="a0"/>
    <w:link w:val="5"/>
    <w:uiPriority w:val="9"/>
    <w:semiHidden w:val="1"/>
    <w:rsid w:val="006363B9"/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aa">
    <w:name w:val="No Spacing"/>
    <w:aliases w:val="ציטוט1"/>
    <w:basedOn w:val="a"/>
    <w:link w:val="ab"/>
    <w:rsid w:val="00435F4B"/>
    <w:pPr>
      <w:bidi w:val="1"/>
      <w:spacing w:after="0" w:line="240" w:lineRule="auto"/>
      <w:ind w:left="401" w:right="567"/>
      <w:jc w:val="both"/>
    </w:pPr>
    <w:rPr>
      <w:rFonts w:ascii="Times New Roman" w:cs="Times New Roman" w:eastAsia="Calibri" w:hAnsi="Times New Roman"/>
      <w:b w:val="1"/>
      <w:bCs w:val="1"/>
      <w:u w:color="c45911"/>
      <w:lang w:bidi="he-IL" w:eastAsia="en-US"/>
    </w:rPr>
  </w:style>
  <w:style w:type="paragraph" w:styleId="ac">
    <w:name w:val="annotation text"/>
    <w:basedOn w:val="a"/>
    <w:link w:val="ad"/>
    <w:uiPriority w:val="99"/>
    <w:semiHidden w:val="1"/>
    <w:unhideWhenUsed w:val="1"/>
    <w:rsid w:val="00435F4B"/>
    <w:pPr>
      <w:bidi w:val="1"/>
      <w:spacing w:line="240" w:lineRule="auto"/>
    </w:pPr>
    <w:rPr>
      <w:rFonts w:ascii="Calibri" w:cs="Arial" w:eastAsia="Calibri" w:hAnsi="Calibri"/>
      <w:sz w:val="20"/>
      <w:szCs w:val="20"/>
      <w:u w:color="c45911"/>
      <w:lang w:bidi="he-IL" w:eastAsia="en-US"/>
    </w:rPr>
  </w:style>
  <w:style w:type="character" w:styleId="ad" w:customStyle="1">
    <w:name w:val="טקסט הערה תו"/>
    <w:basedOn w:val="a0"/>
    <w:link w:val="ac"/>
    <w:uiPriority w:val="99"/>
    <w:semiHidden w:val="1"/>
    <w:rsid w:val="00435F4B"/>
    <w:rPr>
      <w:rFonts w:ascii="Calibri" w:cs="Arial" w:eastAsia="Calibri" w:hAnsi="Calibri"/>
      <w:sz w:val="20"/>
      <w:szCs w:val="20"/>
      <w:u w:color="c45911"/>
      <w:lang w:bidi="he-IL" w:eastAsia="en-US"/>
    </w:rPr>
  </w:style>
  <w:style w:type="character" w:styleId="ab" w:customStyle="1">
    <w:name w:val="ללא מרווח תו"/>
    <w:aliases w:val="ציטוט1 תו"/>
    <w:link w:val="aa"/>
    <w:locked w:val="1"/>
    <w:rsid w:val="00435F4B"/>
    <w:rPr>
      <w:rFonts w:ascii="Times New Roman" w:cs="Times New Roman" w:eastAsia="Calibri" w:hAnsi="Times New Roman"/>
      <w:b w:val="1"/>
      <w:bCs w:val="1"/>
      <w:u w:color="c45911"/>
      <w:lang w:bidi="he-IL" w:eastAsia="en-US"/>
    </w:rPr>
  </w:style>
  <w:style w:type="character" w:styleId="30" w:customStyle="1">
    <w:name w:val="כותרת 3 תו"/>
    <w:basedOn w:val="a0"/>
    <w:link w:val="3"/>
    <w:uiPriority w:val="9"/>
    <w:rsid w:val="00C66FAB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ae">
    <w:name w:val="footnote text"/>
    <w:aliases w:val="Footnote Text"/>
    <w:basedOn w:val="a"/>
    <w:link w:val="af"/>
    <w:rsid w:val="00C66FAB"/>
    <w:pPr>
      <w:bidi w:val="1"/>
      <w:spacing w:after="0" w:line="276" w:lineRule="auto"/>
      <w:jc w:val="both"/>
    </w:pPr>
    <w:rPr>
      <w:rFonts w:ascii="Times New Roman" w:cs="FrankRuehl" w:eastAsia="Times New Roman" w:hAnsi="Times New Roman"/>
      <w:noProof w:val="1"/>
      <w:sz w:val="24"/>
      <w:szCs w:val="20"/>
      <w:lang w:bidi="he-IL" w:eastAsia="he-IL"/>
    </w:rPr>
  </w:style>
  <w:style w:type="character" w:styleId="af" w:customStyle="1">
    <w:name w:val="טקסט הערת שוליים תו"/>
    <w:aliases w:val="Footnote Text תו"/>
    <w:basedOn w:val="a0"/>
    <w:link w:val="ae"/>
    <w:rsid w:val="00C66FAB"/>
    <w:rPr>
      <w:rFonts w:ascii="Times New Roman" w:cs="FrankRuehl" w:eastAsia="Times New Roman" w:hAnsi="Times New Roman"/>
      <w:noProof w:val="1"/>
      <w:sz w:val="24"/>
      <w:szCs w:val="20"/>
      <w:lang w:bidi="he-IL" w:eastAsia="he-IL"/>
    </w:rPr>
  </w:style>
  <w:style w:type="character" w:styleId="af0">
    <w:name w:val="footnote reference"/>
    <w:aliases w:val="Footnote Reference"/>
    <w:basedOn w:val="a0"/>
    <w:semiHidden w:val="1"/>
    <w:rsid w:val="00C66FAB"/>
    <w:rPr>
      <w:vertAlign w:val="superscript"/>
    </w:rPr>
  </w:style>
  <w:style w:type="paragraph" w:styleId="af1">
    <w:name w:val="Quote"/>
    <w:basedOn w:val="a"/>
    <w:next w:val="a"/>
    <w:link w:val="af2"/>
    <w:uiPriority w:val="29"/>
    <w:qFormat w:val="1"/>
    <w:rsid w:val="00A406EC"/>
    <w:pPr>
      <w:bidi w:val="1"/>
      <w:spacing w:line="360" w:lineRule="auto"/>
      <w:jc w:val="both"/>
    </w:pPr>
    <w:rPr>
      <w:rFonts w:ascii="FrankRuehl" w:cs="FrankRuehl" w:hAnsi="FrankRuehl"/>
      <w:lang w:bidi="he-IL"/>
    </w:rPr>
  </w:style>
  <w:style w:type="character" w:styleId="af2" w:customStyle="1">
    <w:name w:val="ציטוט תו"/>
    <w:basedOn w:val="a0"/>
    <w:link w:val="af1"/>
    <w:uiPriority w:val="29"/>
    <w:rsid w:val="00A406EC"/>
    <w:rPr>
      <w:rFonts w:ascii="FrankRuehl" w:cs="FrankRuehl" w:hAnsi="FrankRuehl"/>
      <w:lang w:bidi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rPZh8H2RTQZQRVMSHI09KQMYQ==">CgMxLjA4AHIhMWZLbm4yR0RiU2JkN1MwYXkyUUZ1Q0tEM2dsZ0VpX09i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2023-06-08T10:39:00Z</dcterms:created>
  <dc:creator>user2</dc:creator>
</cp:coreProperties>
</file>